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E17A2" w14:textId="62F4B3DA" w:rsidR="005E2D7D" w:rsidRPr="005E2D7D" w:rsidRDefault="005E2D7D">
      <w:r w:rsidRPr="005E2D7D">
        <w:rPr>
          <w:noProof/>
        </w:rPr>
        <w:drawing>
          <wp:anchor distT="0" distB="0" distL="114300" distR="114300" simplePos="0" relativeHeight="251658240" behindDoc="0" locked="0" layoutInCell="1" allowOverlap="1" wp14:anchorId="661EC02A" wp14:editId="4064B569">
            <wp:simplePos x="0" y="0"/>
            <wp:positionH relativeFrom="margin">
              <wp:posOffset>1403739</wp:posOffset>
            </wp:positionH>
            <wp:positionV relativeFrom="margin">
              <wp:posOffset>102870</wp:posOffset>
            </wp:positionV>
            <wp:extent cx="2631440" cy="6134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rLetter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D5185" w14:textId="77777777" w:rsidR="005E2D7D" w:rsidRPr="005E2D7D" w:rsidRDefault="005E2D7D"/>
    <w:p w14:paraId="4E62DB59" w14:textId="77777777" w:rsidR="005E2D7D" w:rsidRPr="005E2D7D" w:rsidRDefault="005E2D7D"/>
    <w:p w14:paraId="420F77A6" w14:textId="77777777" w:rsidR="005E2D7D" w:rsidRPr="005E2D7D" w:rsidRDefault="005E2D7D"/>
    <w:p w14:paraId="2411B63A" w14:textId="77777777" w:rsidR="005E2D7D" w:rsidRPr="005E2D7D" w:rsidRDefault="005E2D7D"/>
    <w:p w14:paraId="508609B1" w14:textId="77777777" w:rsidR="005E2D7D" w:rsidRPr="005E2D7D" w:rsidRDefault="005E2D7D"/>
    <w:p w14:paraId="2E47F4C3" w14:textId="20055C9E" w:rsidR="005E2D7D" w:rsidRPr="005E2D7D" w:rsidRDefault="005E2D7D" w:rsidP="005E2D7D">
      <w:pPr>
        <w:pStyle w:val="NormalWeb"/>
        <w:jc w:val="center"/>
      </w:pPr>
      <w:r>
        <w:rPr>
          <w:rFonts w:ascii="MinionPro" w:hAnsi="MinionPro"/>
          <w:b/>
          <w:bCs/>
        </w:rPr>
        <w:t xml:space="preserve">Contributing to </w:t>
      </w:r>
      <w:r w:rsidRPr="005E2D7D">
        <w:rPr>
          <w:rFonts w:ascii="MinionPro" w:hAnsi="MinionPro"/>
          <w:b/>
          <w:bCs/>
        </w:rPr>
        <w:t>NFDA Publications</w:t>
      </w:r>
    </w:p>
    <w:p w14:paraId="35B3058D" w14:textId="77777777" w:rsidR="005E2D7D" w:rsidRPr="005E2D7D" w:rsidRDefault="005E2D7D"/>
    <w:p w14:paraId="1FB9A3D3" w14:textId="4FE152BB" w:rsidR="005E2D7D" w:rsidRPr="005E2D7D" w:rsidRDefault="005E2D7D" w:rsidP="005E2D7D">
      <w:pPr>
        <w:pStyle w:val="NormalWeb"/>
      </w:pPr>
      <w:r w:rsidRPr="005E2D7D">
        <w:rPr>
          <w:rFonts w:ascii="MinionPro" w:hAnsi="MinionPro"/>
        </w:rPr>
        <w:t xml:space="preserve">Thank you for your interest in contributing to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 xml:space="preserve">magazine, the official publication of the National Funeral Directors Association (NFDA). This document provides guidelines that will help you if you are interested in submitting editorial material. </w:t>
      </w:r>
      <w:r w:rsidRPr="005E2D7D">
        <w:br/>
      </w:r>
      <w:r w:rsidRPr="005E2D7D">
        <w:rPr>
          <w:rFonts w:ascii="MinionPro" w:hAnsi="MinionPro"/>
        </w:rPr>
        <w:t xml:space="preserve">Every month,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 xml:space="preserve">magazine reports and analyzes the stories that shape the world of funeral service professionals in order to help them operate their funeral homes, cemeteries, crematories and/or affiliated businesses more effectively and better serve families. The publication consistently offers objective, in-depth features on the trends affecting these businesses, expert analysis of legislative and regulatory developments, and thought-provoking opinions by leaders within the profession. </w:t>
      </w:r>
      <w:r w:rsidRPr="005E2D7D">
        <w:br/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 xml:space="preserve">is published monthly with an average circulation of nearly 13,000 copies worldwide. Included at no charge as one of the many benefits of NFDA membership. Non-members can also subscribe for $84 per year (delivery within the U.S.) and $96 per year (Canadian and international delivery). </w:t>
      </w:r>
    </w:p>
    <w:p w14:paraId="2FCE89CE" w14:textId="77777777" w:rsidR="005E2D7D" w:rsidRPr="005E2D7D" w:rsidRDefault="005E2D7D" w:rsidP="005E2D7D">
      <w:pPr>
        <w:pStyle w:val="NormalWeb"/>
      </w:pPr>
      <w:r w:rsidRPr="005E2D7D">
        <w:rPr>
          <w:rFonts w:ascii="MinionPro" w:hAnsi="MinionPro"/>
          <w:b/>
          <w:bCs/>
        </w:rPr>
        <w:t xml:space="preserve">WHAT WE SEEK </w:t>
      </w:r>
    </w:p>
    <w:p w14:paraId="50398312" w14:textId="5BE96359" w:rsidR="005E2D7D" w:rsidRPr="005E2D7D" w:rsidRDefault="005E2D7D" w:rsidP="005E2D7D">
      <w:pPr>
        <w:pStyle w:val="NormalWeb"/>
      </w:pPr>
      <w:r w:rsidRPr="005E2D7D">
        <w:rPr>
          <w:rFonts w:ascii="MinionPro" w:hAnsi="MinionPro"/>
        </w:rPr>
        <w:t xml:space="preserve">• Before writing/submitting an article, please take time to familiarize yourself with the type of material we prefer by reviewing recent issues of the magazine. If you do not already regularly read </w:t>
      </w:r>
      <w:r w:rsidRPr="005E2D7D">
        <w:rPr>
          <w:rFonts w:ascii="MinionPro" w:hAnsi="MinionPro"/>
          <w:i/>
          <w:iCs/>
        </w:rPr>
        <w:t>The Director</w:t>
      </w:r>
      <w:r w:rsidRPr="005E2D7D">
        <w:rPr>
          <w:rFonts w:ascii="MinionPro" w:hAnsi="MinionPro"/>
        </w:rPr>
        <w:t xml:space="preserve">, sample copies of the magazine may be purchased by contacting an NFDA member services representative at 800-228-6332 for $10 per issue. (Sample issues will not be provided for free to prospective authors.) </w:t>
      </w:r>
      <w:r w:rsidRPr="005E2D7D">
        <w:br/>
      </w:r>
      <w:r w:rsidRPr="005E2D7D">
        <w:rPr>
          <w:rFonts w:ascii="MinionPro" w:hAnsi="MinionPro"/>
        </w:rPr>
        <w:t xml:space="preserve">•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 xml:space="preserve">seeks timely stories about current funeral service issues, </w:t>
      </w:r>
      <w:r w:rsidRPr="005E2D7D">
        <w:rPr>
          <w:rFonts w:ascii="MinionPro" w:hAnsi="MinionPro"/>
          <w:i/>
          <w:iCs/>
        </w:rPr>
        <w:t>expert</w:t>
      </w:r>
      <w:r w:rsidRPr="005E2D7D">
        <w:rPr>
          <w:rFonts w:ascii="MinionPro" w:hAnsi="MinionPro"/>
        </w:rPr>
        <w:t xml:space="preserve"> analysis of the trends impacting consumer preferences for funerals and memorialization services, practical, how-to advice that helps readers (practitioners) adapt their existing businesses to better meet the needs of today’s families and other features of interest within the profession.</w:t>
      </w:r>
      <w:r w:rsidRPr="005E2D7D">
        <w:rPr>
          <w:rFonts w:ascii="MinionPro" w:hAnsi="MinionPro"/>
        </w:rPr>
        <w:br/>
        <w:t xml:space="preserve">• Full-length feature stories generally run 2,000-2,500 words; if your query leads to an assignment, the editor will specify the desired length, but much depends upon the topic/focus. </w:t>
      </w:r>
      <w:r w:rsidRPr="005E2D7D">
        <w:br/>
      </w:r>
      <w:r w:rsidRPr="005E2D7D">
        <w:rPr>
          <w:rFonts w:ascii="MinionPro" w:hAnsi="MinionPro"/>
        </w:rPr>
        <w:t>• We also seek short (1,000-1,500 word) “quick-read” pieces that provide practical, how-to advice about a specific, narrow challenge facing funeral directors. These articles are best presented in a bullet-point format following a brief introduction.</w:t>
      </w:r>
      <w:r w:rsidRPr="005E2D7D">
        <w:rPr>
          <w:rFonts w:ascii="MinionPro" w:hAnsi="MinionPro"/>
        </w:rPr>
        <w:br/>
        <w:t xml:space="preserve">• Authors are encouraged to include with an article a sidebar briefly expanding </w:t>
      </w:r>
      <w:r w:rsidRPr="005E2D7D">
        <w:rPr>
          <w:rFonts w:ascii="MinionPro" w:hAnsi="MinionPro"/>
        </w:rPr>
        <w:lastRenderedPageBreak/>
        <w:t>upon a central point of the article, or providing readers with additional follow-up information sources.</w:t>
      </w:r>
      <w:r w:rsidRPr="005E2D7D">
        <w:rPr>
          <w:rFonts w:ascii="MinionPro" w:hAnsi="MinionPro"/>
        </w:rPr>
        <w:br/>
        <w:t xml:space="preserve">• Authors submitting articles to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magazine are not paid, unless expressly agreed to in writing by the editor before-hand. The magazine publishes exclusively articles from members or recognized experts within the profession.</w:t>
      </w:r>
      <w:r w:rsidRPr="005E2D7D">
        <w:rPr>
          <w:rFonts w:ascii="MinionPro" w:hAnsi="MinionPro"/>
        </w:rPr>
        <w:br/>
        <w:t>• The editorial policy is to include feature articles that were not previously published. If your article previously appeared in another publication, that fact must be disclosed via your initial query.</w:t>
      </w:r>
      <w:r w:rsidRPr="005E2D7D">
        <w:rPr>
          <w:rFonts w:ascii="MinionPro" w:hAnsi="MinionPro"/>
        </w:rPr>
        <w:br/>
        <w:t>• Author-provided photographs augmenting an article (ideally in a high-resolution digital format) are encouraged.</w:t>
      </w:r>
      <w:r w:rsidRPr="005E2D7D">
        <w:rPr>
          <w:rFonts w:ascii="MinionPro" w:hAnsi="MinionPro"/>
        </w:rPr>
        <w:br/>
        <w:t>• Articles following AP style and written from a professional point of view (i.e. third- vs. first-person).</w:t>
      </w:r>
      <w:r w:rsidRPr="005E2D7D">
        <w:rPr>
          <w:rFonts w:ascii="MinionPro" w:hAnsi="MinionPro"/>
        </w:rPr>
        <w:br/>
        <w:t xml:space="preserve">• Copyrighted material (text/images) must be so indicated within the article.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 xml:space="preserve">assumes no responsibility for obtaining permission to reprint copyrighted material. </w:t>
      </w:r>
    </w:p>
    <w:p w14:paraId="49661BF6" w14:textId="77777777" w:rsidR="005E2D7D" w:rsidRPr="005E2D7D" w:rsidRDefault="005E2D7D" w:rsidP="005E2D7D">
      <w:pPr>
        <w:pStyle w:val="NormalWeb"/>
      </w:pPr>
      <w:r w:rsidRPr="005E2D7D">
        <w:rPr>
          <w:rFonts w:ascii="MinionPro" w:hAnsi="MinionPro"/>
          <w:b/>
          <w:bCs/>
        </w:rPr>
        <w:t xml:space="preserve">WHAT WE DO NOT SEEK </w:t>
      </w:r>
    </w:p>
    <w:p w14:paraId="6D4B7EB6" w14:textId="640B6E68" w:rsidR="005E2D7D" w:rsidRPr="005E2D7D" w:rsidRDefault="005E2D7D" w:rsidP="005E2D7D">
      <w:pPr>
        <w:pStyle w:val="NormalWeb"/>
      </w:pPr>
      <w:r w:rsidRPr="005E2D7D">
        <w:rPr>
          <w:rFonts w:ascii="MinionPro" w:hAnsi="MinionPro"/>
        </w:rPr>
        <w:t xml:space="preserve">•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is not in the market for fiction, poetry</w:t>
      </w:r>
      <w:r w:rsidRPr="005E2D7D">
        <w:rPr>
          <w:rFonts w:ascii="MinionPro" w:hAnsi="MinionPro"/>
        </w:rPr>
        <w:t>, crossword puzzles</w:t>
      </w:r>
      <w:r w:rsidRPr="005E2D7D">
        <w:rPr>
          <w:rFonts w:ascii="MinionPro" w:hAnsi="MinionPro"/>
        </w:rPr>
        <w:t xml:space="preserve"> or articles that merely make broad generalizations about the funeral service profession/industry without authoritative substantiation.</w:t>
      </w:r>
      <w:r w:rsidRPr="005E2D7D">
        <w:rPr>
          <w:rFonts w:ascii="MinionPro" w:hAnsi="MinionPro"/>
        </w:rPr>
        <w:br/>
        <w:t>• Articles that promote a specific product and/or service offered by a funeral industry supplier, or a specific product and/or service offered by a licensed funeral director as an adjunct business. This type of article will not be considered.</w:t>
      </w:r>
      <w:r w:rsidRPr="005E2D7D">
        <w:rPr>
          <w:rFonts w:ascii="MinionPro" w:hAnsi="MinionPro"/>
        </w:rPr>
        <w:br/>
        <w:t xml:space="preserve">• We have no interest in simultaneously submitted articles (stories sent concurrently to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and other funeral-oriented publications, whether in print or electronic format).</w:t>
      </w:r>
      <w:r w:rsidRPr="005E2D7D">
        <w:rPr>
          <w:rFonts w:ascii="MinionPro" w:hAnsi="MinionPro"/>
        </w:rPr>
        <w:br/>
        <w:t>• Regular contributions to the magazine.</w:t>
      </w:r>
      <w:r w:rsidRPr="005E2D7D">
        <w:rPr>
          <w:rFonts w:ascii="MinionPro" w:hAnsi="MinionPro"/>
        </w:rPr>
        <w:br/>
        <w:t xml:space="preserve">• Articles by funeral industry suppliers overtly/subtly tied to the launch/marketing campaign of a new product or service. </w:t>
      </w:r>
    </w:p>
    <w:p w14:paraId="0448FDDD" w14:textId="77777777" w:rsidR="005E2D7D" w:rsidRPr="005E2D7D" w:rsidRDefault="005E2D7D" w:rsidP="005E2D7D">
      <w:pPr>
        <w:pStyle w:val="NormalWeb"/>
      </w:pPr>
      <w:r w:rsidRPr="005E2D7D">
        <w:rPr>
          <w:rFonts w:ascii="MinionPro" w:hAnsi="MinionPro"/>
          <w:b/>
          <w:bCs/>
        </w:rPr>
        <w:t xml:space="preserve">HOW TO PITCH </w:t>
      </w:r>
      <w:r w:rsidRPr="005E2D7D">
        <w:rPr>
          <w:rFonts w:ascii="MinionPro" w:hAnsi="MinionPro"/>
          <w:b/>
          <w:bCs/>
          <w:i/>
          <w:iCs/>
        </w:rPr>
        <w:t>The Director</w:t>
      </w:r>
      <w:r w:rsidRPr="005E2D7D">
        <w:rPr>
          <w:rFonts w:ascii="MinionPro" w:hAnsi="MinionPro"/>
          <w:b/>
          <w:bCs/>
          <w:i/>
          <w:iCs/>
        </w:rPr>
        <w:br/>
      </w:r>
      <w:r w:rsidRPr="005E2D7D">
        <w:rPr>
          <w:rFonts w:ascii="MinionPro" w:hAnsi="MinionPro"/>
        </w:rPr>
        <w:t>• Query the editor directly (at the e-mail address below) with a summary/outline of your potential article.</w:t>
      </w:r>
      <w:r w:rsidRPr="005E2D7D">
        <w:rPr>
          <w:rFonts w:ascii="MinionPro" w:hAnsi="MinionPro"/>
        </w:rPr>
        <w:br/>
        <w:t>• If your article is already written, please attach it to an e-mail and provide in the body of the accompanying e-mail an outline of your article’s theme, as well as a brief synopsis of your funeral service-relevant background.</w:t>
      </w:r>
      <w:r w:rsidRPr="005E2D7D">
        <w:rPr>
          <w:rFonts w:ascii="MinionPro" w:hAnsi="MinionPro"/>
        </w:rPr>
        <w:br/>
        <w:t xml:space="preserve">• Please no faxes or hard copies. </w:t>
      </w:r>
    </w:p>
    <w:p w14:paraId="7F3FB091" w14:textId="77777777" w:rsidR="005E2D7D" w:rsidRPr="005E2D7D" w:rsidRDefault="005E2D7D" w:rsidP="005E2D7D">
      <w:pPr>
        <w:pStyle w:val="NormalWeb"/>
      </w:pPr>
      <w:r w:rsidRPr="005E2D7D">
        <w:rPr>
          <w:rFonts w:ascii="MinionPro" w:hAnsi="MinionPro"/>
          <w:b/>
          <w:bCs/>
        </w:rPr>
        <w:t xml:space="preserve">OTHER CONSIDERATIONS </w:t>
      </w:r>
    </w:p>
    <w:p w14:paraId="4965AE1A" w14:textId="77777777" w:rsidR="005E2D7D" w:rsidRPr="005E2D7D" w:rsidRDefault="005E2D7D" w:rsidP="005E2D7D">
      <w:pPr>
        <w:pStyle w:val="NormalWeb"/>
      </w:pPr>
      <w:r w:rsidRPr="005E2D7D">
        <w:rPr>
          <w:rFonts w:ascii="MinionPro" w:hAnsi="MinionPro"/>
        </w:rPr>
        <w:t>• If you, a close relative or a friend are related in any way to a subject that will appear in an article you wish to author – whether to a member of the NFDA Board of Directors or of any NFDA committee</w:t>
      </w:r>
      <w:r w:rsidRPr="005E2D7D">
        <w:rPr>
          <w:rFonts w:ascii="MinionPro" w:hAnsi="MinionPro"/>
        </w:rPr>
        <w:br/>
        <w:t xml:space="preserve">or subcommittee, another national or state funeral association, or to any entity with a financial/vested interest in the funeral service industry – this relationship must be </w:t>
      </w:r>
      <w:r w:rsidRPr="005E2D7D">
        <w:rPr>
          <w:rFonts w:ascii="MinionPro" w:hAnsi="MinionPro"/>
        </w:rPr>
        <w:lastRenderedPageBreak/>
        <w:t>disclosed to the editor prior to accepting an assignment.</w:t>
      </w:r>
      <w:r w:rsidRPr="005E2D7D">
        <w:rPr>
          <w:rFonts w:ascii="MinionPro" w:hAnsi="MinionPro"/>
        </w:rPr>
        <w:br/>
        <w:t xml:space="preserve">• When contacting sources, you may state that “I’m writing an article for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 xml:space="preserve">magazine” if the article was specifically assigned, in writing (via letter or e-mail), by the editor. You may not represent yourself, however, as anything other than an “independent contractor” on assignment for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magazine.</w:t>
      </w:r>
      <w:r w:rsidRPr="005E2D7D">
        <w:rPr>
          <w:rFonts w:ascii="MinionPro" w:hAnsi="MinionPro"/>
        </w:rPr>
        <w:br/>
        <w:t xml:space="preserve">• Under no circumstances are writers allowed to accept gifts, gratuities, product samples or other special privileges in connection with an assignment for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magazine.</w:t>
      </w:r>
      <w:r w:rsidRPr="005E2D7D">
        <w:rPr>
          <w:rFonts w:ascii="MinionPro" w:hAnsi="MinionPro"/>
        </w:rPr>
        <w:br/>
        <w:t xml:space="preserve">• Under no circumstances will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reimburse authors for costs associated with writing an article.</w:t>
      </w:r>
      <w:r w:rsidRPr="005E2D7D">
        <w:rPr>
          <w:rFonts w:ascii="MinionPro" w:hAnsi="MinionPro"/>
        </w:rPr>
        <w:br/>
        <w:t xml:space="preserve">• All articles accepted for publication in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magazine remain subject to editing for length, style and/or content. Edited articles may be sent to the author for approval prior to publication, but the editor reserves the right to delay/not publish any article regardless of previous agreements.</w:t>
      </w:r>
      <w:r w:rsidRPr="005E2D7D">
        <w:rPr>
          <w:rFonts w:ascii="MinionPro" w:hAnsi="MinionPro"/>
        </w:rPr>
        <w:br/>
        <w:t xml:space="preserve">• An author’s affiliation to a company that runs paid/unpaid advertisements in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 xml:space="preserve">has no bearing on the decision to publish an editorial submission. </w:t>
      </w:r>
    </w:p>
    <w:p w14:paraId="6E885D92" w14:textId="412A1C7F" w:rsidR="005E2D7D" w:rsidRPr="005E2D7D" w:rsidRDefault="005E2D7D" w:rsidP="005E2D7D">
      <w:pPr>
        <w:pStyle w:val="NormalWeb"/>
        <w:rPr>
          <w:rFonts w:ascii="MinionPro" w:hAnsi="MinionPro"/>
        </w:rPr>
      </w:pPr>
      <w:r w:rsidRPr="005E2D7D">
        <w:rPr>
          <w:rFonts w:ascii="MinionPro" w:hAnsi="MinionPro"/>
        </w:rPr>
        <w:t xml:space="preserve">In general, </w:t>
      </w:r>
      <w:r w:rsidRPr="005E2D7D">
        <w:rPr>
          <w:rFonts w:ascii="MinionPro" w:hAnsi="MinionPro"/>
          <w:i/>
          <w:iCs/>
        </w:rPr>
        <w:t xml:space="preserve">The Director </w:t>
      </w:r>
      <w:r w:rsidRPr="005E2D7D">
        <w:rPr>
          <w:rFonts w:ascii="MinionPro" w:hAnsi="MinionPro"/>
        </w:rPr>
        <w:t>magazine seeks writers that can deliver lively, well-researched articles that deliver how-to insights that will immediately help readers operate their funeral homes, cemeteries, crematories and/or affiliated businesses more efficiently. Furthermore, we respect writers that can deliver copy on deadline that fits the specifications of our assignment.</w:t>
      </w:r>
      <w:r w:rsidRPr="005E2D7D">
        <w:rPr>
          <w:rFonts w:ascii="MinionPro" w:hAnsi="MinionPro"/>
        </w:rPr>
        <w:br/>
      </w:r>
      <w:r w:rsidRPr="005E2D7D">
        <w:rPr>
          <w:rFonts w:ascii="MinionPro" w:hAnsi="MinionPro"/>
        </w:rPr>
        <w:br/>
      </w:r>
      <w:r w:rsidRPr="005E2D7D">
        <w:rPr>
          <w:rFonts w:ascii="MinionPro" w:hAnsi="MinionPro"/>
        </w:rPr>
        <w:t xml:space="preserve">If you fit this description, we would like to hear from you. </w:t>
      </w:r>
    </w:p>
    <w:p w14:paraId="25ADDB7F" w14:textId="43CA2475" w:rsidR="005E2D7D" w:rsidRPr="005E2D7D" w:rsidRDefault="005E2D7D" w:rsidP="005E2D7D">
      <w:pPr>
        <w:pStyle w:val="NormalWeb"/>
      </w:pPr>
      <w:r w:rsidRPr="005E2D7D">
        <w:rPr>
          <w:rFonts w:ascii="MinionPro" w:hAnsi="MinionPro"/>
        </w:rPr>
        <w:t xml:space="preserve">Edward J Defort, Editor </w:t>
      </w:r>
      <w:r w:rsidRPr="005E2D7D">
        <w:br/>
      </w:r>
      <w:r w:rsidRPr="005E2D7D">
        <w:rPr>
          <w:rFonts w:ascii="MinionPro" w:hAnsi="MinionPro"/>
          <w:i/>
          <w:iCs/>
        </w:rPr>
        <w:t>The Director</w:t>
      </w:r>
      <w:r w:rsidRPr="005E2D7D">
        <w:rPr>
          <w:rFonts w:ascii="MinionPro" w:hAnsi="MinionPro"/>
          <w:i/>
          <w:iCs/>
        </w:rPr>
        <w:br/>
      </w:r>
      <w:r w:rsidRPr="005E2D7D">
        <w:rPr>
          <w:rFonts w:ascii="MinionPro" w:hAnsi="MinionPro"/>
          <w:i/>
          <w:iCs/>
        </w:rPr>
        <w:t>Memorial Business Journal</w:t>
      </w:r>
      <w:r w:rsidRPr="005E2D7D">
        <w:rPr>
          <w:rFonts w:ascii="MinionPro" w:hAnsi="MinionPro"/>
          <w:i/>
          <w:iCs/>
        </w:rPr>
        <w:br/>
        <w:t>The Director.edu</w:t>
      </w:r>
      <w:r w:rsidRPr="005E2D7D">
        <w:rPr>
          <w:rFonts w:ascii="MinionPro" w:hAnsi="MinionPro"/>
          <w:i/>
          <w:iCs/>
        </w:rPr>
        <w:t xml:space="preserve"> </w:t>
      </w:r>
      <w:r w:rsidRPr="005E2D7D">
        <w:rPr>
          <w:rFonts w:ascii="MinionPro" w:hAnsi="MinionPro"/>
          <w:i/>
          <w:iCs/>
        </w:rPr>
        <w:br/>
      </w:r>
      <w:r w:rsidRPr="005E2D7D">
        <w:rPr>
          <w:rFonts w:ascii="MinionPro" w:hAnsi="MinionPro"/>
        </w:rPr>
        <w:t>edefort@nfda.org</w:t>
      </w:r>
      <w:r w:rsidRPr="005E2D7D">
        <w:rPr>
          <w:rFonts w:ascii="MinionPro" w:hAnsi="MinionPro"/>
        </w:rPr>
        <w:br/>
        <w:t xml:space="preserve">National Funeral Directors Association </w:t>
      </w:r>
    </w:p>
    <w:p w14:paraId="2D6711B3" w14:textId="6452AC9F" w:rsidR="000E4DE9" w:rsidRPr="005E2D7D" w:rsidRDefault="005E2D7D" w:rsidP="005E2D7D">
      <w:pPr>
        <w:pStyle w:val="NormalWeb"/>
        <w:rPr>
          <w:rFonts w:ascii="MinionPro" w:hAnsi="MinionPro"/>
        </w:rPr>
      </w:pPr>
      <w:r w:rsidRPr="005E2D7D">
        <w:rPr>
          <w:rFonts w:ascii="MinionPro" w:hAnsi="MinionPro"/>
        </w:rPr>
        <w:t>13625 Bishop’s Drive</w:t>
      </w:r>
      <w:r w:rsidRPr="005E2D7D">
        <w:rPr>
          <w:rFonts w:ascii="MinionPro" w:hAnsi="MinionPro"/>
        </w:rPr>
        <w:br/>
        <w:t>Brookfield, WI 53005</w:t>
      </w:r>
      <w:r w:rsidRPr="005E2D7D">
        <w:rPr>
          <w:rFonts w:ascii="MinionPro" w:hAnsi="MinionPro"/>
        </w:rPr>
        <w:br/>
        <w:t>262-814-1548</w:t>
      </w:r>
      <w:r w:rsidRPr="005E2D7D">
        <w:rPr>
          <w:rFonts w:ascii="MinionPro" w:hAnsi="MinionPro"/>
        </w:rPr>
        <w:br/>
        <w:t xml:space="preserve">N.J. Office: 609-815-8145 </w:t>
      </w:r>
    </w:p>
    <w:sectPr w:rsidR="000E4DE9" w:rsidRPr="005E2D7D" w:rsidSect="009F19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">
    <w:altName w:val="Cambria"/>
    <w:panose1 w:val="02040503050201020203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16"/>
    <w:rsid w:val="000E4DE9"/>
    <w:rsid w:val="005A1B3B"/>
    <w:rsid w:val="005E2D7D"/>
    <w:rsid w:val="009D0758"/>
    <w:rsid w:val="009F199A"/>
    <w:rsid w:val="00C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77762"/>
  <w14:defaultImageDpi w14:val="300"/>
  <w15:docId w15:val="{D05AA027-A905-4044-BDBD-07FB2220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B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3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E2D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Luteyn Section 625</dc:creator>
  <cp:keywords/>
  <dc:description/>
  <cp:lastModifiedBy>Ed Defort</cp:lastModifiedBy>
  <cp:revision>2</cp:revision>
  <dcterms:created xsi:type="dcterms:W3CDTF">2020-09-29T19:02:00Z</dcterms:created>
  <dcterms:modified xsi:type="dcterms:W3CDTF">2020-09-29T19:02:00Z</dcterms:modified>
</cp:coreProperties>
</file>